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A1" w:rsidRDefault="001100A4">
      <w:pPr>
        <w:jc w:val="center"/>
        <w:rPr>
          <w:rFonts w:ascii="Century Gothic" w:eastAsia="Century Gothic" w:hAnsi="Century Gothic" w:cs="Century Gothic"/>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3987800</wp:posOffset>
                </wp:positionH>
                <wp:positionV relativeFrom="paragraph">
                  <wp:posOffset>0</wp:posOffset>
                </wp:positionV>
                <wp:extent cx="2638425" cy="844676"/>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031550" y="3379950"/>
                          <a:ext cx="2628900" cy="800100"/>
                        </a:xfrm>
                        <a:prstGeom prst="rect">
                          <a:avLst/>
                        </a:prstGeom>
                        <a:noFill/>
                        <a:ln>
                          <a:noFill/>
                        </a:ln>
                      </wps:spPr>
                      <wps:txbx>
                        <w:txbxContent>
                          <w:p w:rsidR="00B118A1" w:rsidRDefault="001100A4">
                            <w:pPr>
                              <w:spacing w:after="240"/>
                              <w:jc w:val="center"/>
                              <w:textDirection w:val="btLr"/>
                            </w:pPr>
                            <w:r>
                              <w:rPr>
                                <w:rFonts w:ascii="Century Gothic" w:eastAsia="Century Gothic" w:hAnsi="Century Gothic" w:cs="Century Gothic"/>
                                <w:b/>
                                <w:color w:val="000000"/>
                                <w:sz w:val="28"/>
                              </w:rPr>
                              <w:t>SYLLABUS</w:t>
                            </w:r>
                            <w:r>
                              <w:rPr>
                                <w:rFonts w:ascii="Century Gothic" w:eastAsia="Century Gothic" w:hAnsi="Century Gothic" w:cs="Century Gothic"/>
                                <w:b/>
                                <w:color w:val="000000"/>
                                <w:sz w:val="28"/>
                              </w:rPr>
                              <w:br/>
                            </w:r>
                            <w:r w:rsidR="003C21A5">
                              <w:rPr>
                                <w:rFonts w:ascii="Century Gothic" w:eastAsia="Century Gothic" w:hAnsi="Century Gothic" w:cs="Century Gothic"/>
                                <w:b/>
                                <w:color w:val="800000"/>
                                <w:sz w:val="28"/>
                              </w:rPr>
                              <w:t>Government</w:t>
                            </w:r>
                            <w:r>
                              <w:rPr>
                                <w:rFonts w:ascii="Century Gothic" w:eastAsia="Century Gothic" w:hAnsi="Century Gothic" w:cs="Century Gothic"/>
                                <w:b/>
                                <w:color w:val="000000"/>
                                <w:sz w:val="28"/>
                              </w:rPr>
                              <w:br/>
                              <w:t>2019-2020</w:t>
                            </w:r>
                          </w:p>
                        </w:txbxContent>
                      </wps:txbx>
                      <wps:bodyPr spcFirstLastPara="1" wrap="square" lIns="91425" tIns="45700" rIns="91425" bIns="45700" anchor="t" anchorCtr="0">
                        <a:noAutofit/>
                      </wps:bodyPr>
                    </wps:wsp>
                  </a:graphicData>
                </a:graphic>
              </wp:anchor>
            </w:drawing>
          </mc:Choice>
          <mc:Fallback>
            <w:pict>
              <v:rect id="Rectangle 5" o:spid="_x0000_s1026" style="position:absolute;left:0;text-align:left;margin-left:314pt;margin-top:0;width:207.75pt;height:6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" filled="f" stroked="f">
                <v:textbox inset="2.53958mm,1.2694mm,2.53958mm,1.2694mm">
                  <w:txbxContent>
                    <w:p w:rsidR="00B118A1" w:rsidRDefault="001100A4">
                      <w:pPr>
                        <w:spacing w:after="240"/>
                        <w:jc w:val="center"/>
                        <w:textDirection w:val="btLr"/>
                      </w:pPr>
                      <w:r>
                        <w:rPr>
                          <w:rFonts w:ascii="Century Gothic" w:eastAsia="Century Gothic" w:hAnsi="Century Gothic" w:cs="Century Gothic"/>
                          <w:b/>
                          <w:color w:val="000000"/>
                          <w:sz w:val="28"/>
                        </w:rPr>
                        <w:t>SYLLABUS</w:t>
                      </w:r>
                      <w:r>
                        <w:rPr>
                          <w:rFonts w:ascii="Century Gothic" w:eastAsia="Century Gothic" w:hAnsi="Century Gothic" w:cs="Century Gothic"/>
                          <w:b/>
                          <w:color w:val="000000"/>
                          <w:sz w:val="28"/>
                        </w:rPr>
                        <w:br/>
                      </w:r>
                      <w:r w:rsidR="003C21A5">
                        <w:rPr>
                          <w:rFonts w:ascii="Century Gothic" w:eastAsia="Century Gothic" w:hAnsi="Century Gothic" w:cs="Century Gothic"/>
                          <w:b/>
                          <w:color w:val="800000"/>
                          <w:sz w:val="28"/>
                        </w:rPr>
                        <w:t>Government</w:t>
                      </w:r>
                      <w:r>
                        <w:rPr>
                          <w:rFonts w:ascii="Century Gothic" w:eastAsia="Century Gothic" w:hAnsi="Century Gothic" w:cs="Century Gothic"/>
                          <w:b/>
                          <w:color w:val="000000"/>
                          <w:sz w:val="28"/>
                        </w:rPr>
                        <w:br/>
                        <w:t>2019-2020</w:t>
                      </w: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-114299</wp:posOffset>
            </wp:positionV>
            <wp:extent cx="2400300" cy="966470"/>
            <wp:effectExtent l="0" t="0" r="0" b="0"/>
            <wp:wrapSquare wrapText="bothSides" distT="0" distB="0" distL="114300" distR="114300"/>
            <wp:docPr id="7" name="image1.png" descr="Macintosh HD:Users:student:Dropbox:ASUPA Logos &amp; Sayings:ASUPA Colorlogo sparky.png"/>
            <wp:cNvGraphicFramePr/>
            <a:graphic xmlns:a="http://schemas.openxmlformats.org/drawingml/2006/main">
              <a:graphicData uri="http://schemas.openxmlformats.org/drawingml/2006/picture">
                <pic:pic xmlns:pic="http://schemas.openxmlformats.org/drawingml/2006/picture">
                  <pic:nvPicPr>
                    <pic:cNvPr id="0" name="image1.png" descr="Macintosh HD:Users:student:Dropbox:ASUPA Logos &amp; Sayings:ASUPA Colorlogo sparky.png"/>
                    <pic:cNvPicPr preferRelativeResize="0"/>
                  </pic:nvPicPr>
                  <pic:blipFill>
                    <a:blip r:embed="rId6"/>
                    <a:srcRect/>
                    <a:stretch>
                      <a:fillRect/>
                    </a:stretch>
                  </pic:blipFill>
                  <pic:spPr>
                    <a:xfrm>
                      <a:off x="0" y="0"/>
                      <a:ext cx="2400300" cy="966470"/>
                    </a:xfrm>
                    <a:prstGeom prst="rect">
                      <a:avLst/>
                    </a:prstGeom>
                    <a:ln/>
                  </pic:spPr>
                </pic:pic>
              </a:graphicData>
            </a:graphic>
          </wp:anchor>
        </w:drawing>
      </w:r>
    </w:p>
    <w:p w:rsidR="00B118A1" w:rsidRDefault="00B118A1">
      <w:pPr>
        <w:jc w:val="center"/>
        <w:rPr>
          <w:rFonts w:ascii="Century Gothic" w:eastAsia="Century Gothic" w:hAnsi="Century Gothic" w:cs="Century Gothic"/>
          <w:sz w:val="22"/>
          <w:szCs w:val="22"/>
        </w:rPr>
      </w:pPr>
    </w:p>
    <w:p w:rsidR="00B118A1" w:rsidRDefault="00B118A1">
      <w:pPr>
        <w:jc w:val="center"/>
        <w:rPr>
          <w:rFonts w:ascii="Century Gothic" w:eastAsia="Century Gothic" w:hAnsi="Century Gothic" w:cs="Century Gothic"/>
          <w:sz w:val="22"/>
          <w:szCs w:val="22"/>
        </w:rPr>
      </w:pPr>
    </w:p>
    <w:p w:rsidR="00B118A1" w:rsidRDefault="00B118A1">
      <w:pPr>
        <w:jc w:val="center"/>
        <w:rPr>
          <w:rFonts w:ascii="Century Gothic" w:eastAsia="Century Gothic" w:hAnsi="Century Gothic" w:cs="Century Gothic"/>
          <w:sz w:val="22"/>
          <w:szCs w:val="22"/>
        </w:rPr>
      </w:pPr>
    </w:p>
    <w:p w:rsidR="00B118A1" w:rsidRDefault="00B118A1">
      <w:pPr>
        <w:jc w:val="center"/>
        <w:rPr>
          <w:rFonts w:ascii="Century Gothic" w:eastAsia="Century Gothic" w:hAnsi="Century Gothic" w:cs="Century Gothic"/>
          <w:sz w:val="22"/>
          <w:szCs w:val="22"/>
        </w:rPr>
      </w:pPr>
    </w:p>
    <w:p w:rsidR="00B118A1" w:rsidRDefault="00B118A1">
      <w:pPr>
        <w:jc w:val="center"/>
        <w:rPr>
          <w:rFonts w:ascii="Permanent Marker" w:eastAsia="Permanent Marker" w:hAnsi="Permanent Marker" w:cs="Permanent Marker"/>
          <w:sz w:val="36"/>
          <w:szCs w:val="36"/>
        </w:rPr>
      </w:pPr>
    </w:p>
    <w:p w:rsidR="00B118A1" w:rsidRDefault="001100A4">
      <w:pPr>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Work Hard ~ Be Kind ~ Be Smart</w:t>
      </w:r>
    </w:p>
    <w:p w:rsidR="00B118A1" w:rsidRDefault="001100A4">
      <w:pPr>
        <w:rPr>
          <w:rFonts w:ascii="Century Gothic" w:eastAsia="Century Gothic" w:hAnsi="Century Gothic" w:cs="Century Gothic"/>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215900</wp:posOffset>
                </wp:positionH>
                <wp:positionV relativeFrom="paragraph">
                  <wp:posOffset>63500</wp:posOffset>
                </wp:positionV>
                <wp:extent cx="6067425" cy="1673772"/>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317050" y="2952595"/>
                          <a:ext cx="6057900" cy="1654810"/>
                        </a:xfrm>
                        <a:prstGeom prst="rect">
                          <a:avLst/>
                        </a:prstGeom>
                        <a:noFill/>
                        <a:ln>
                          <a:noFill/>
                        </a:ln>
                      </wps:spPr>
                      <wps:txbx>
                        <w:txbxContent>
                          <w:p w:rsidR="00B118A1" w:rsidRDefault="001100A4">
                            <w:pPr>
                              <w:jc w:val="center"/>
                              <w:textDirection w:val="btLr"/>
                            </w:pPr>
                            <w:r>
                              <w:rPr>
                                <w:rFonts w:ascii="Century Gothic" w:eastAsia="Century Gothic" w:hAnsi="Century Gothic" w:cs="Century Gothic"/>
                                <w:b/>
                                <w:color w:val="000000"/>
                              </w:rPr>
                              <w:t>INSTRUCTOR INFORMATION:</w:t>
                            </w:r>
                          </w:p>
                          <w:p w:rsidR="00B118A1" w:rsidRDefault="00B118A1">
                            <w:pPr>
                              <w:jc w:val="center"/>
                              <w:textDirection w:val="btLr"/>
                            </w:pPr>
                          </w:p>
                          <w:p w:rsidR="00B118A1" w:rsidRDefault="001100A4">
                            <w:pPr>
                              <w:jc w:val="center"/>
                              <w:textDirection w:val="btLr"/>
                            </w:pPr>
                            <w:r>
                              <w:rPr>
                                <w:rFonts w:ascii="Century Gothic" w:eastAsia="Century Gothic" w:hAnsi="Century Gothic" w:cs="Century Gothic"/>
                                <w:b/>
                                <w:color w:val="632423"/>
                              </w:rPr>
                              <w:t>Mr</w:t>
                            </w:r>
                            <w:r>
                              <w:rPr>
                                <w:rFonts w:ascii="Century Gothic" w:eastAsia="Century Gothic" w:hAnsi="Century Gothic" w:cs="Century Gothic"/>
                                <w:b/>
                                <w:color w:val="632423"/>
                              </w:rPr>
                              <w:t xml:space="preserve">. </w:t>
                            </w:r>
                            <w:r w:rsidR="004245DB">
                              <w:rPr>
                                <w:rFonts w:ascii="Century Gothic" w:eastAsia="Century Gothic" w:hAnsi="Century Gothic" w:cs="Century Gothic"/>
                                <w:b/>
                                <w:color w:val="632423"/>
                              </w:rPr>
                              <w:t>Peter G. Quinn</w:t>
                            </w:r>
                          </w:p>
                          <w:p w:rsidR="00B118A1" w:rsidRDefault="004245DB">
                            <w:pPr>
                              <w:jc w:val="center"/>
                              <w:textDirection w:val="btLr"/>
                            </w:pPr>
                            <w:r>
                              <w:rPr>
                                <w:rFonts w:ascii="Century Gothic" w:eastAsia="Century Gothic" w:hAnsi="Century Gothic" w:cs="Century Gothic"/>
                                <w:color w:val="632423"/>
                              </w:rPr>
                              <w:t>B.S in Secondary Education of</w:t>
                            </w:r>
                            <w:r w:rsidR="001100A4">
                              <w:rPr>
                                <w:rFonts w:ascii="Century Gothic" w:eastAsia="Century Gothic" w:hAnsi="Century Gothic" w:cs="Century Gothic"/>
                                <w:color w:val="632423"/>
                              </w:rPr>
                              <w:t xml:space="preserve"> </w:t>
                            </w:r>
                            <w:r>
                              <w:rPr>
                                <w:rFonts w:ascii="Century Gothic" w:eastAsia="Century Gothic" w:hAnsi="Century Gothic" w:cs="Century Gothic"/>
                                <w:color w:val="632423"/>
                              </w:rPr>
                              <w:t>History / Government / Economics</w:t>
                            </w:r>
                          </w:p>
                          <w:p w:rsidR="00B118A1" w:rsidRDefault="00B118A1">
                            <w:pPr>
                              <w:jc w:val="center"/>
                              <w:textDirection w:val="btLr"/>
                            </w:pPr>
                          </w:p>
                          <w:p w:rsidR="00B118A1" w:rsidRDefault="001100A4">
                            <w:pPr>
                              <w:jc w:val="center"/>
                              <w:textDirection w:val="btLr"/>
                            </w:pPr>
                            <w:r>
                              <w:rPr>
                                <w:rFonts w:ascii="Century Gothic" w:eastAsia="Century Gothic" w:hAnsi="Century Gothic" w:cs="Century Gothic"/>
                                <w:color w:val="632423"/>
                              </w:rPr>
                              <w:t xml:space="preserve">Email address: </w:t>
                            </w:r>
                            <w:r w:rsidR="004245DB">
                              <w:rPr>
                                <w:rFonts w:ascii="Century Gothic" w:eastAsia="Century Gothic" w:hAnsi="Century Gothic" w:cs="Century Gothic"/>
                                <w:color w:val="0000FF"/>
                                <w:u w:val="single"/>
                              </w:rPr>
                              <w:t>pgquinn@asu.edu</w:t>
                            </w:r>
                            <w:r>
                              <w:rPr>
                                <w:rFonts w:ascii="Century Gothic" w:eastAsia="Century Gothic" w:hAnsi="Century Gothic" w:cs="Century Gothic"/>
                                <w:color w:val="632423"/>
                              </w:rPr>
                              <w:t xml:space="preserve">      </w:t>
                            </w:r>
                          </w:p>
                          <w:p w:rsidR="00B118A1" w:rsidRDefault="001100A4">
                            <w:pPr>
                              <w:jc w:val="center"/>
                              <w:textDirection w:val="btLr"/>
                            </w:pPr>
                            <w:r>
                              <w:rPr>
                                <w:rFonts w:ascii="Century Gothic" w:eastAsia="Century Gothic" w:hAnsi="Century Gothic" w:cs="Century Gothic"/>
                                <w:b/>
                                <w:color w:val="632423"/>
                              </w:rPr>
                              <w:t>Phone: (480)-727-</w:t>
                            </w:r>
                            <w:r>
                              <w:rPr>
                                <w:rFonts w:ascii="Century Gothic" w:eastAsia="Century Gothic" w:hAnsi="Century Gothic" w:cs="Century Gothic"/>
                                <w:b/>
                                <w:color w:val="632423"/>
                              </w:rPr>
                              <w:t>57</w:t>
                            </w:r>
                            <w:r w:rsidR="004245DB">
                              <w:rPr>
                                <w:rFonts w:ascii="Century Gothic" w:eastAsia="Century Gothic" w:hAnsi="Century Gothic" w:cs="Century Gothic"/>
                                <w:b/>
                                <w:color w:val="632423"/>
                              </w:rPr>
                              <w:t>77</w:t>
                            </w:r>
                          </w:p>
                        </w:txbxContent>
                      </wps:txbx>
                      <wps:bodyPr spcFirstLastPara="1" wrap="square" lIns="91425" tIns="45700" rIns="91425" bIns="45700" anchor="t" anchorCtr="0">
                        <a:noAutofit/>
                      </wps:bodyPr>
                    </wps:wsp>
                  </a:graphicData>
                </a:graphic>
              </wp:anchor>
            </w:drawing>
          </mc:Choice>
          <mc:Fallback>
            <w:pict>
              <v:rect id="Rectangle 6" o:spid="_x0000_s1027" style="position:absolute;margin-left:17pt;margin-top:5pt;width:477.75pt;height:13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" filled="f" stroked="f">
                <v:textbox inset="2.53958mm,1.2694mm,2.53958mm,1.2694mm">
                  <w:txbxContent>
                    <w:p w:rsidR="00B118A1" w:rsidRDefault="001100A4">
                      <w:pPr>
                        <w:jc w:val="center"/>
                        <w:textDirection w:val="btLr"/>
                      </w:pPr>
                      <w:r>
                        <w:rPr>
                          <w:rFonts w:ascii="Century Gothic" w:eastAsia="Century Gothic" w:hAnsi="Century Gothic" w:cs="Century Gothic"/>
                          <w:b/>
                          <w:color w:val="000000"/>
                        </w:rPr>
                        <w:t>INSTRUCTOR INFORMATION:</w:t>
                      </w:r>
                    </w:p>
                    <w:p w:rsidR="00B118A1" w:rsidRDefault="00B118A1">
                      <w:pPr>
                        <w:jc w:val="center"/>
                        <w:textDirection w:val="btLr"/>
                      </w:pPr>
                    </w:p>
                    <w:p w:rsidR="00B118A1" w:rsidRDefault="001100A4">
                      <w:pPr>
                        <w:jc w:val="center"/>
                        <w:textDirection w:val="btLr"/>
                      </w:pPr>
                      <w:r>
                        <w:rPr>
                          <w:rFonts w:ascii="Century Gothic" w:eastAsia="Century Gothic" w:hAnsi="Century Gothic" w:cs="Century Gothic"/>
                          <w:b/>
                          <w:color w:val="632423"/>
                        </w:rPr>
                        <w:t>Mr</w:t>
                      </w:r>
                      <w:r>
                        <w:rPr>
                          <w:rFonts w:ascii="Century Gothic" w:eastAsia="Century Gothic" w:hAnsi="Century Gothic" w:cs="Century Gothic"/>
                          <w:b/>
                          <w:color w:val="632423"/>
                        </w:rPr>
                        <w:t xml:space="preserve">. </w:t>
                      </w:r>
                      <w:r w:rsidR="004245DB">
                        <w:rPr>
                          <w:rFonts w:ascii="Century Gothic" w:eastAsia="Century Gothic" w:hAnsi="Century Gothic" w:cs="Century Gothic"/>
                          <w:b/>
                          <w:color w:val="632423"/>
                        </w:rPr>
                        <w:t>Peter G. Quinn</w:t>
                      </w:r>
                    </w:p>
                    <w:p w:rsidR="00B118A1" w:rsidRDefault="004245DB">
                      <w:pPr>
                        <w:jc w:val="center"/>
                        <w:textDirection w:val="btLr"/>
                      </w:pPr>
                      <w:r>
                        <w:rPr>
                          <w:rFonts w:ascii="Century Gothic" w:eastAsia="Century Gothic" w:hAnsi="Century Gothic" w:cs="Century Gothic"/>
                          <w:color w:val="632423"/>
                        </w:rPr>
                        <w:t>B.S in Secondary Education of</w:t>
                      </w:r>
                      <w:r w:rsidR="001100A4">
                        <w:rPr>
                          <w:rFonts w:ascii="Century Gothic" w:eastAsia="Century Gothic" w:hAnsi="Century Gothic" w:cs="Century Gothic"/>
                          <w:color w:val="632423"/>
                        </w:rPr>
                        <w:t xml:space="preserve"> </w:t>
                      </w:r>
                      <w:r>
                        <w:rPr>
                          <w:rFonts w:ascii="Century Gothic" w:eastAsia="Century Gothic" w:hAnsi="Century Gothic" w:cs="Century Gothic"/>
                          <w:color w:val="632423"/>
                        </w:rPr>
                        <w:t>History / Government / Economics</w:t>
                      </w:r>
                    </w:p>
                    <w:p w:rsidR="00B118A1" w:rsidRDefault="00B118A1">
                      <w:pPr>
                        <w:jc w:val="center"/>
                        <w:textDirection w:val="btLr"/>
                      </w:pPr>
                    </w:p>
                    <w:p w:rsidR="00B118A1" w:rsidRDefault="001100A4">
                      <w:pPr>
                        <w:jc w:val="center"/>
                        <w:textDirection w:val="btLr"/>
                      </w:pPr>
                      <w:r>
                        <w:rPr>
                          <w:rFonts w:ascii="Century Gothic" w:eastAsia="Century Gothic" w:hAnsi="Century Gothic" w:cs="Century Gothic"/>
                          <w:color w:val="632423"/>
                        </w:rPr>
                        <w:t xml:space="preserve">Email address: </w:t>
                      </w:r>
                      <w:r w:rsidR="004245DB">
                        <w:rPr>
                          <w:rFonts w:ascii="Century Gothic" w:eastAsia="Century Gothic" w:hAnsi="Century Gothic" w:cs="Century Gothic"/>
                          <w:color w:val="0000FF"/>
                          <w:u w:val="single"/>
                        </w:rPr>
                        <w:t>pgquinn@asu.edu</w:t>
                      </w:r>
                      <w:r>
                        <w:rPr>
                          <w:rFonts w:ascii="Century Gothic" w:eastAsia="Century Gothic" w:hAnsi="Century Gothic" w:cs="Century Gothic"/>
                          <w:color w:val="632423"/>
                        </w:rPr>
                        <w:t xml:space="preserve">      </w:t>
                      </w:r>
                    </w:p>
                    <w:p w:rsidR="00B118A1" w:rsidRDefault="001100A4">
                      <w:pPr>
                        <w:jc w:val="center"/>
                        <w:textDirection w:val="btLr"/>
                      </w:pPr>
                      <w:r>
                        <w:rPr>
                          <w:rFonts w:ascii="Century Gothic" w:eastAsia="Century Gothic" w:hAnsi="Century Gothic" w:cs="Century Gothic"/>
                          <w:b/>
                          <w:color w:val="632423"/>
                        </w:rPr>
                        <w:t>Phone: (480)-727-</w:t>
                      </w:r>
                      <w:r>
                        <w:rPr>
                          <w:rFonts w:ascii="Century Gothic" w:eastAsia="Century Gothic" w:hAnsi="Century Gothic" w:cs="Century Gothic"/>
                          <w:b/>
                          <w:color w:val="632423"/>
                        </w:rPr>
                        <w:t>57</w:t>
                      </w:r>
                      <w:r w:rsidR="004245DB">
                        <w:rPr>
                          <w:rFonts w:ascii="Century Gothic" w:eastAsia="Century Gothic" w:hAnsi="Century Gothic" w:cs="Century Gothic"/>
                          <w:b/>
                          <w:color w:val="632423"/>
                        </w:rPr>
                        <w:t>77</w:t>
                      </w:r>
                    </w:p>
                  </w:txbxContent>
                </v:textbox>
                <w10:wrap type="square"/>
              </v:rect>
            </w:pict>
          </mc:Fallback>
        </mc:AlternateContent>
      </w:r>
    </w:p>
    <w:p w:rsidR="00B118A1" w:rsidRDefault="00B118A1">
      <w:pPr>
        <w:rPr>
          <w:rFonts w:ascii="Century Gothic" w:eastAsia="Century Gothic" w:hAnsi="Century Gothic" w:cs="Century Gothic"/>
          <w:sz w:val="22"/>
          <w:szCs w:val="22"/>
        </w:rPr>
      </w:pPr>
    </w:p>
    <w:p w:rsidR="00B118A1" w:rsidRDefault="00B118A1">
      <w:pPr>
        <w:rPr>
          <w:rFonts w:ascii="Century Gothic" w:eastAsia="Century Gothic" w:hAnsi="Century Gothic" w:cs="Century Gothic"/>
          <w:sz w:val="22"/>
          <w:szCs w:val="22"/>
        </w:rPr>
      </w:pPr>
    </w:p>
    <w:p w:rsidR="00B118A1" w:rsidRDefault="00B118A1">
      <w:pPr>
        <w:tabs>
          <w:tab w:val="left" w:pos="1080"/>
        </w:tabs>
        <w:rPr>
          <w:rFonts w:ascii="Century Gothic" w:eastAsia="Century Gothic" w:hAnsi="Century Gothic" w:cs="Century Gothic"/>
          <w:sz w:val="22"/>
          <w:szCs w:val="22"/>
        </w:rPr>
      </w:pPr>
    </w:p>
    <w:p w:rsidR="004245DB" w:rsidRDefault="004245DB" w:rsidP="004245DB">
      <w:pPr>
        <w:pStyle w:val="Normal1"/>
        <w:widowControl w:val="0"/>
        <w:spacing w:after="240"/>
      </w:pPr>
      <w:r>
        <w:rPr>
          <w:rFonts w:ascii="Times New Roman" w:eastAsia="Times New Roman" w:hAnsi="Times New Roman" w:cs="Times New Roman"/>
          <w:b/>
        </w:rPr>
        <w:t>COURSE DESCRIPTION</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t xml:space="preserve">This course allows students to: </w:t>
      </w:r>
    </w:p>
    <w:p w:rsidR="004245DB" w:rsidRDefault="004245DB" w:rsidP="004245DB">
      <w:pPr>
        <w:pStyle w:val="Normal1"/>
        <w:widowControl w:val="0"/>
        <w:numPr>
          <w:ilvl w:val="0"/>
          <w:numId w:val="5"/>
        </w:numPr>
        <w:tabs>
          <w:tab w:val="left" w:pos="220"/>
          <w:tab w:val="left" w:pos="720"/>
        </w:tabs>
        <w:spacing w:after="240"/>
        <w:ind w:left="720"/>
        <w:contextualSpacing/>
        <w:rPr>
          <w:rFonts w:ascii="Times New Roman" w:eastAsia="Times New Roman" w:hAnsi="Times New Roman" w:cs="Times New Roman"/>
        </w:rPr>
      </w:pPr>
      <w:r>
        <w:rPr>
          <w:rFonts w:ascii="Times New Roman" w:eastAsia="Times New Roman" w:hAnsi="Times New Roman" w:cs="Times New Roman"/>
        </w:rPr>
        <w:t>Develop the ability to communicate clearly, accurately, and effectively their understanding of American History.</w:t>
      </w:r>
    </w:p>
    <w:p w:rsidR="004245DB" w:rsidRDefault="004245DB" w:rsidP="004245DB">
      <w:pPr>
        <w:pStyle w:val="Normal1"/>
        <w:widowControl w:val="0"/>
        <w:numPr>
          <w:ilvl w:val="0"/>
          <w:numId w:val="5"/>
        </w:numPr>
        <w:tabs>
          <w:tab w:val="left" w:pos="220"/>
          <w:tab w:val="left" w:pos="720"/>
        </w:tabs>
        <w:spacing w:after="240"/>
        <w:ind w:left="720"/>
        <w:contextualSpacing/>
        <w:rPr>
          <w:rFonts w:ascii="Times New Roman" w:eastAsia="Times New Roman" w:hAnsi="Times New Roman" w:cs="Times New Roman"/>
        </w:rPr>
      </w:pPr>
      <w:r>
        <w:rPr>
          <w:rFonts w:ascii="Times New Roman" w:eastAsia="Times New Roman" w:hAnsi="Times New Roman" w:cs="Times New Roman"/>
        </w:rPr>
        <w:t>Learn how to use a wide range of academic vocabulary to facilitate that communication.</w:t>
      </w:r>
    </w:p>
    <w:p w:rsidR="00B118A1" w:rsidRPr="004245DB" w:rsidRDefault="004245DB" w:rsidP="004245DB">
      <w:pPr>
        <w:pStyle w:val="Normal1"/>
        <w:widowControl w:val="0"/>
        <w:numPr>
          <w:ilvl w:val="0"/>
          <w:numId w:val="5"/>
        </w:numPr>
        <w:tabs>
          <w:tab w:val="left" w:pos="220"/>
          <w:tab w:val="left" w:pos="720"/>
        </w:tabs>
        <w:spacing w:after="240"/>
        <w:ind w:left="720"/>
        <w:contextualSpacing/>
        <w:rPr>
          <w:rFonts w:ascii="Times New Roman" w:eastAsia="Times New Roman" w:hAnsi="Times New Roman" w:cs="Times New Roman"/>
        </w:rPr>
      </w:pPr>
      <w:r w:rsidRPr="004245DB">
        <w:rPr>
          <w:rFonts w:ascii="Times New Roman" w:eastAsia="Times New Roman" w:hAnsi="Times New Roman" w:cs="Times New Roman"/>
        </w:rPr>
        <w:t>Develop a personal interest and an awareness of topics being discussed</w:t>
      </w:r>
      <w:r>
        <w:rPr>
          <w:rFonts w:ascii="Times New Roman" w:eastAsia="Times New Roman" w:hAnsi="Times New Roman" w:cs="Times New Roman"/>
        </w:rPr>
        <w:t xml:space="preserve">. </w:t>
      </w:r>
      <w:r w:rsidRPr="004245DB">
        <w:rPr>
          <w:rFonts w:ascii="Times New Roman" w:eastAsia="Times New Roman" w:hAnsi="Times New Roman" w:cs="Times New Roman"/>
        </w:rPr>
        <w:t>Students are also encouraged to add their own analysis and views on the topic material in a constructive fashion.</w:t>
      </w:r>
    </w:p>
    <w:p w:rsidR="004245DB" w:rsidRDefault="004245DB" w:rsidP="004245DB">
      <w:pPr>
        <w:pStyle w:val="Normal1"/>
        <w:widowControl w:val="0"/>
        <w:spacing w:after="240"/>
        <w:rPr>
          <w:rFonts w:ascii="Times New Roman" w:eastAsia="Times New Roman" w:hAnsi="Times New Roman" w:cs="Times New Roman"/>
          <w:b/>
        </w:rPr>
      </w:pPr>
    </w:p>
    <w:p w:rsidR="004245DB" w:rsidRDefault="004245DB" w:rsidP="004245DB">
      <w:pPr>
        <w:pStyle w:val="Normal1"/>
        <w:widowControl w:val="0"/>
        <w:spacing w:after="240"/>
      </w:pPr>
      <w:r>
        <w:rPr>
          <w:rFonts w:ascii="Times New Roman" w:eastAsia="Times New Roman" w:hAnsi="Times New Roman" w:cs="Times New Roman"/>
          <w:b/>
        </w:rPr>
        <w:t>ASSESSMENT STANDARDS &amp; OBJECTIVES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t xml:space="preserve">The student must demonstrate mastery of these objectives. These objectives will be visible in the student’s Infinite Campus grade book. </w:t>
      </w:r>
      <w:r w:rsidR="003C21A5">
        <w:rPr>
          <w:rFonts w:ascii="Times New Roman" w:eastAsia="Times New Roman" w:hAnsi="Times New Roman" w:cs="Times New Roman"/>
        </w:rPr>
        <w:t>We The People Curriculum</w:t>
      </w:r>
      <w:r>
        <w:rPr>
          <w:rFonts w:ascii="Times New Roman" w:eastAsia="Times New Roman" w:hAnsi="Times New Roman" w:cs="Times New Roman"/>
        </w:rPr>
        <w:t xml:space="preserve"> has </w:t>
      </w:r>
      <w:r w:rsidR="003C21A5">
        <w:rPr>
          <w:rFonts w:ascii="Times New Roman" w:eastAsia="Times New Roman" w:hAnsi="Times New Roman" w:cs="Times New Roman"/>
        </w:rPr>
        <w:t>six</w:t>
      </w:r>
      <w:r>
        <w:rPr>
          <w:rFonts w:ascii="Times New Roman" w:eastAsia="Times New Roman" w:hAnsi="Times New Roman" w:cs="Times New Roman"/>
        </w:rPr>
        <w:t xml:space="preserve"> Assessment Objectives (AOs):</w:t>
      </w:r>
    </w:p>
    <w:p w:rsidR="004245DB" w:rsidRDefault="004245DB" w:rsidP="004245DB">
      <w:r>
        <w:t>After the end of this course, we will have an ability to….</w:t>
      </w:r>
    </w:p>
    <w:p w:rsidR="004245DB" w:rsidRDefault="003C21A5" w:rsidP="003C21A5">
      <w:pPr>
        <w:pStyle w:val="ListParagraph"/>
        <w:numPr>
          <w:ilvl w:val="0"/>
          <w:numId w:val="7"/>
        </w:numPr>
      </w:pPr>
      <w:r>
        <w:t>Students will be able to understand the historical and philosophical foundations of our country’s ideas about Constitutional Government.</w:t>
      </w:r>
    </w:p>
    <w:p w:rsidR="003C21A5" w:rsidRDefault="003C21A5" w:rsidP="003C21A5">
      <w:pPr>
        <w:pStyle w:val="ListParagraph"/>
        <w:numPr>
          <w:ilvl w:val="0"/>
          <w:numId w:val="7"/>
        </w:numPr>
      </w:pPr>
      <w:r>
        <w:t>Students will be able to understand the process of the creation of the Constitution.</w:t>
      </w:r>
    </w:p>
    <w:p w:rsidR="003C21A5" w:rsidRDefault="003C21A5" w:rsidP="003C21A5">
      <w:pPr>
        <w:pStyle w:val="ListParagraph"/>
        <w:numPr>
          <w:ilvl w:val="0"/>
          <w:numId w:val="7"/>
        </w:numPr>
      </w:pPr>
      <w:r>
        <w:t>Students will be able to un</w:t>
      </w:r>
      <w:bookmarkStart w:id="0" w:name="_GoBack"/>
      <w:bookmarkEnd w:id="0"/>
      <w:r>
        <w:t>derstand expansion of Rights since the ratification of the Constitution in 1788.</w:t>
      </w:r>
    </w:p>
    <w:p w:rsidR="003C21A5" w:rsidRDefault="003C21A5" w:rsidP="003C21A5">
      <w:pPr>
        <w:pStyle w:val="ListParagraph"/>
        <w:numPr>
          <w:ilvl w:val="0"/>
          <w:numId w:val="7"/>
        </w:numPr>
      </w:pPr>
      <w:r>
        <w:t>Students will be able to understand the organization of the United States national Government.</w:t>
      </w:r>
    </w:p>
    <w:p w:rsidR="003C21A5" w:rsidRDefault="003C21A5" w:rsidP="003C21A5">
      <w:pPr>
        <w:pStyle w:val="ListParagraph"/>
        <w:numPr>
          <w:ilvl w:val="0"/>
          <w:numId w:val="7"/>
        </w:numPr>
      </w:pPr>
      <w:r>
        <w:t>Students will be able to understand the meanings of the various rights guaranteed in the Bill of Rights.</w:t>
      </w:r>
    </w:p>
    <w:p w:rsidR="003C21A5" w:rsidRDefault="003C21A5" w:rsidP="003C21A5">
      <w:pPr>
        <w:pStyle w:val="ListParagraph"/>
        <w:numPr>
          <w:ilvl w:val="0"/>
          <w:numId w:val="7"/>
        </w:numPr>
      </w:pPr>
      <w:r>
        <w:t>Students will be able to understand the roles of citizens in American Democracy.</w:t>
      </w:r>
    </w:p>
    <w:p w:rsidR="004245DB" w:rsidRDefault="004245DB" w:rsidP="004245DB"/>
    <w:tbl>
      <w:tblPr>
        <w:tblStyle w:val="TableGrid"/>
        <w:tblW w:w="9825" w:type="dxa"/>
        <w:tblLook w:val="04A0" w:firstRow="1" w:lastRow="0" w:firstColumn="1" w:lastColumn="0" w:noHBand="0" w:noVBand="1"/>
      </w:tblPr>
      <w:tblGrid>
        <w:gridCol w:w="3220"/>
        <w:gridCol w:w="3302"/>
        <w:gridCol w:w="3303"/>
      </w:tblGrid>
      <w:tr w:rsidR="004245DB" w:rsidTr="00A93BF9">
        <w:trPr>
          <w:trHeight w:val="611"/>
        </w:trPr>
        <w:tc>
          <w:tcPr>
            <w:tcW w:w="3220" w:type="dxa"/>
            <w:vAlign w:val="center"/>
          </w:tcPr>
          <w:p w:rsidR="004245DB" w:rsidRDefault="004245DB" w:rsidP="00A93BF9">
            <w:pPr>
              <w:jc w:val="center"/>
            </w:pPr>
            <w:r>
              <w:t>Homework</w:t>
            </w:r>
          </w:p>
        </w:tc>
        <w:tc>
          <w:tcPr>
            <w:tcW w:w="3302" w:type="dxa"/>
            <w:vAlign w:val="center"/>
          </w:tcPr>
          <w:p w:rsidR="004245DB" w:rsidRDefault="004245DB" w:rsidP="00A93BF9">
            <w:pPr>
              <w:jc w:val="center"/>
            </w:pPr>
            <w:r>
              <w:t>Academic Assignments</w:t>
            </w:r>
          </w:p>
        </w:tc>
        <w:tc>
          <w:tcPr>
            <w:tcW w:w="3303" w:type="dxa"/>
            <w:vAlign w:val="center"/>
          </w:tcPr>
          <w:p w:rsidR="004245DB" w:rsidRDefault="004245DB" w:rsidP="00A93BF9">
            <w:pPr>
              <w:jc w:val="center"/>
            </w:pPr>
            <w:r>
              <w:t>Assessments</w:t>
            </w:r>
          </w:p>
        </w:tc>
      </w:tr>
      <w:tr w:rsidR="004245DB" w:rsidTr="00A93BF9">
        <w:trPr>
          <w:trHeight w:val="950"/>
        </w:trPr>
        <w:tc>
          <w:tcPr>
            <w:tcW w:w="3220" w:type="dxa"/>
            <w:vAlign w:val="center"/>
          </w:tcPr>
          <w:p w:rsidR="004245DB" w:rsidRDefault="004245DB" w:rsidP="00A93BF9">
            <w:pPr>
              <w:jc w:val="center"/>
            </w:pPr>
            <w:r>
              <w:t>Due on date stated in class (When collected)</w:t>
            </w:r>
          </w:p>
        </w:tc>
        <w:tc>
          <w:tcPr>
            <w:tcW w:w="3302" w:type="dxa"/>
            <w:vAlign w:val="center"/>
          </w:tcPr>
          <w:p w:rsidR="004245DB" w:rsidRDefault="004245DB" w:rsidP="00A93BF9">
            <w:pPr>
              <w:jc w:val="center"/>
            </w:pPr>
            <w:r>
              <w:t>Due on date stated in class (When collected)</w:t>
            </w:r>
          </w:p>
        </w:tc>
        <w:tc>
          <w:tcPr>
            <w:tcW w:w="3303" w:type="dxa"/>
            <w:vAlign w:val="center"/>
          </w:tcPr>
          <w:p w:rsidR="004245DB" w:rsidRDefault="004245DB" w:rsidP="00A93BF9">
            <w:pPr>
              <w:jc w:val="center"/>
            </w:pPr>
            <w:r>
              <w:t>On assigned date in class</w:t>
            </w:r>
          </w:p>
        </w:tc>
      </w:tr>
      <w:tr w:rsidR="004245DB" w:rsidTr="00A93BF9">
        <w:trPr>
          <w:trHeight w:val="293"/>
        </w:trPr>
        <w:tc>
          <w:tcPr>
            <w:tcW w:w="3220" w:type="dxa"/>
          </w:tcPr>
          <w:p w:rsidR="004245DB" w:rsidRDefault="004245DB" w:rsidP="004245DB">
            <w:pPr>
              <w:pStyle w:val="ListParagraph"/>
              <w:numPr>
                <w:ilvl w:val="0"/>
                <w:numId w:val="6"/>
              </w:numPr>
            </w:pPr>
            <w:r>
              <w:lastRenderedPageBreak/>
              <w:t>No retake on HW for points if effort grade</w:t>
            </w:r>
          </w:p>
          <w:p w:rsidR="004245DB" w:rsidRDefault="004245DB" w:rsidP="004245DB">
            <w:pPr>
              <w:pStyle w:val="ListParagraph"/>
              <w:numPr>
                <w:ilvl w:val="0"/>
                <w:numId w:val="6"/>
              </w:numPr>
            </w:pPr>
            <w:r>
              <w:t xml:space="preserve">If academic HW assignments, they may retake/redo for points. </w:t>
            </w:r>
          </w:p>
        </w:tc>
        <w:tc>
          <w:tcPr>
            <w:tcW w:w="3302" w:type="dxa"/>
          </w:tcPr>
          <w:p w:rsidR="004245DB" w:rsidRDefault="004245DB" w:rsidP="004245DB">
            <w:pPr>
              <w:pStyle w:val="ListParagraph"/>
              <w:numPr>
                <w:ilvl w:val="0"/>
                <w:numId w:val="6"/>
              </w:numPr>
            </w:pPr>
            <w:r>
              <w:t>Must have made a full attempt. Not all assignments will be eligible for redo, teacher discretion.</w:t>
            </w:r>
          </w:p>
        </w:tc>
        <w:tc>
          <w:tcPr>
            <w:tcW w:w="3303" w:type="dxa"/>
          </w:tcPr>
          <w:p w:rsidR="004245DB" w:rsidRDefault="004245DB" w:rsidP="004245DB">
            <w:pPr>
              <w:pStyle w:val="ListParagraph"/>
              <w:numPr>
                <w:ilvl w:val="0"/>
                <w:numId w:val="6"/>
              </w:numPr>
            </w:pPr>
            <w:r>
              <w:t>All HW completed to be eligible for retake. Tutoring may be required at Teacher discretion.</w:t>
            </w:r>
          </w:p>
        </w:tc>
      </w:tr>
      <w:tr w:rsidR="004245DB" w:rsidTr="00A93BF9">
        <w:trPr>
          <w:trHeight w:val="317"/>
        </w:trPr>
        <w:tc>
          <w:tcPr>
            <w:tcW w:w="3220" w:type="dxa"/>
          </w:tcPr>
          <w:p w:rsidR="004245DB" w:rsidRDefault="004245DB" w:rsidP="004245DB">
            <w:pPr>
              <w:pStyle w:val="ListParagraph"/>
              <w:numPr>
                <w:ilvl w:val="0"/>
                <w:numId w:val="6"/>
              </w:numPr>
            </w:pPr>
            <w:r>
              <w:t xml:space="preserve">Effort – No credit </w:t>
            </w:r>
          </w:p>
          <w:p w:rsidR="004245DB" w:rsidRDefault="004245DB" w:rsidP="004245DB">
            <w:pPr>
              <w:pStyle w:val="ListParagraph"/>
              <w:numPr>
                <w:ilvl w:val="0"/>
                <w:numId w:val="6"/>
              </w:numPr>
            </w:pPr>
            <w:r>
              <w:t>Academic – must be turned in to retake assessment</w:t>
            </w:r>
          </w:p>
        </w:tc>
        <w:tc>
          <w:tcPr>
            <w:tcW w:w="3302" w:type="dxa"/>
          </w:tcPr>
          <w:p w:rsidR="004245DB" w:rsidRDefault="004245DB" w:rsidP="004245DB">
            <w:pPr>
              <w:pStyle w:val="ListParagraph"/>
              <w:numPr>
                <w:ilvl w:val="0"/>
                <w:numId w:val="6"/>
              </w:numPr>
            </w:pPr>
            <w:r>
              <w:t>Academic – At teacher discretion late work will be accepted for reduced points, before following Monday.</w:t>
            </w:r>
          </w:p>
        </w:tc>
        <w:tc>
          <w:tcPr>
            <w:tcW w:w="3303" w:type="dxa"/>
          </w:tcPr>
          <w:p w:rsidR="004245DB" w:rsidRDefault="004245DB" w:rsidP="004245DB">
            <w:pPr>
              <w:pStyle w:val="ListParagraph"/>
              <w:numPr>
                <w:ilvl w:val="0"/>
                <w:numId w:val="6"/>
              </w:numPr>
            </w:pPr>
            <w:r>
              <w:t>Documented excused absences: Completed within the amount of time absent (day=day) or at teacher discretion</w:t>
            </w:r>
          </w:p>
          <w:p w:rsidR="004245DB" w:rsidRDefault="004245DB" w:rsidP="004245DB">
            <w:pPr>
              <w:pStyle w:val="ListParagraph"/>
              <w:numPr>
                <w:ilvl w:val="0"/>
                <w:numId w:val="6"/>
              </w:numPr>
            </w:pPr>
            <w:r>
              <w:t>Planned absences: Assessments must be taken prior to absence</w:t>
            </w:r>
          </w:p>
        </w:tc>
      </w:tr>
      <w:tr w:rsidR="004245DB" w:rsidTr="00A93BF9">
        <w:trPr>
          <w:trHeight w:val="317"/>
        </w:trPr>
        <w:tc>
          <w:tcPr>
            <w:tcW w:w="9825" w:type="dxa"/>
            <w:gridSpan w:val="3"/>
          </w:tcPr>
          <w:p w:rsidR="004245DB" w:rsidRPr="002F17FB" w:rsidRDefault="004245DB" w:rsidP="004245DB">
            <w:pPr>
              <w:pStyle w:val="ListParagraph"/>
              <w:numPr>
                <w:ilvl w:val="0"/>
                <w:numId w:val="6"/>
              </w:numPr>
            </w:pPr>
            <w:r w:rsidRPr="002F17FB">
              <w:t>I understand that each student has individual needs and assistance. I will use proper discretion to assist in meeting those needs from the individual students on a case-by-case basis.</w:t>
            </w:r>
          </w:p>
        </w:tc>
      </w:tr>
    </w:tbl>
    <w:p w:rsidR="004245DB" w:rsidRDefault="004245DB" w:rsidP="004245DB">
      <w:pPr>
        <w:pStyle w:val="Normal1"/>
        <w:widowControl w:val="0"/>
        <w:spacing w:after="240"/>
        <w:rPr>
          <w:rFonts w:ascii="Times New Roman" w:eastAsia="Times New Roman" w:hAnsi="Times New Roman" w:cs="Times New Roman"/>
          <w:b/>
        </w:rPr>
      </w:pPr>
    </w:p>
    <w:p w:rsidR="004245DB" w:rsidRDefault="004245DB" w:rsidP="004245DB">
      <w:pPr>
        <w:pStyle w:val="Normal1"/>
        <w:widowControl w:val="0"/>
        <w:rPr>
          <w:rFonts w:ascii="Times New Roman" w:eastAsia="Times New Roman" w:hAnsi="Times New Roman" w:cs="Times New Roman"/>
        </w:rPr>
      </w:pPr>
      <w:r>
        <w:rPr>
          <w:rFonts w:ascii="Times New Roman" w:eastAsia="Times New Roman" w:hAnsi="Times New Roman" w:cs="Times New Roman"/>
          <w:b/>
        </w:rPr>
        <w:t>CLASSROOM POLICIES:</w:t>
      </w:r>
      <w:r>
        <w:rPr>
          <w:rFonts w:ascii="Times New Roman" w:eastAsia="Times New Roman" w:hAnsi="Times New Roman" w:cs="Times New Roman"/>
        </w:rPr>
        <w:br/>
        <w:t>*Be prepared to work - Be in class and ready to work at the official start time for the class. Come to class with all necessary materials for success. Take responsibility for your own learning.</w:t>
      </w:r>
      <w:r>
        <w:rPr>
          <w:rFonts w:ascii="Times New Roman" w:eastAsia="Times New Roman" w:hAnsi="Times New Roman" w:cs="Times New Roman"/>
        </w:rPr>
        <w:br/>
        <w:t>*Be appropriate - Any conduct, which is harmful, obstructive, disruptive, or interferes with the 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w:t>
      </w:r>
      <w:r>
        <w:rPr>
          <w:rFonts w:ascii="Times New Roman" w:eastAsia="Times New Roman" w:hAnsi="Times New Roman" w:cs="Times New Roman"/>
        </w:rPr>
        <w:br/>
        <w:t>*Be attentive - You are responsible for obtaining information given. You are also expected to be present and engaged from the beginning of class to the end. Offer ideas, participate in discussions and group activities, and complete your own work.</w:t>
      </w:r>
      <w:r>
        <w:rPr>
          <w:rFonts w:ascii="Times New Roman" w:eastAsia="Times New Roman" w:hAnsi="Times New Roman" w:cs="Times New Roman"/>
        </w:rPr>
        <w:br/>
        <w:t>*Be positive - Enjoy the opportunity to learn and respectfully listen to ideas and opinions that may differ from your own opinions. Put forth your best effort with every endeavor.</w:t>
      </w:r>
    </w:p>
    <w:p w:rsidR="004245DB" w:rsidRPr="00404279" w:rsidRDefault="004245DB" w:rsidP="004245DB">
      <w:pPr>
        <w:pStyle w:val="Normal1"/>
        <w:widowControl w:val="0"/>
        <w:rPr>
          <w:rFonts w:ascii="Times New Roman" w:eastAsia="Times New Roman" w:hAnsi="Times New Roman" w:cs="Times New Roman"/>
        </w:rPr>
      </w:pPr>
      <w:r>
        <w:rPr>
          <w:rFonts w:ascii="Times New Roman" w:eastAsia="Times New Roman" w:hAnsi="Times New Roman" w:cs="Times New Roman"/>
        </w:rPr>
        <w:t>* Students must be class on time at time</w:t>
      </w:r>
    </w:p>
    <w:p w:rsidR="004245DB" w:rsidRPr="00CE00DC" w:rsidRDefault="004245DB" w:rsidP="004245DB">
      <w:pPr>
        <w:pStyle w:val="ListParagraph"/>
        <w:numPr>
          <w:ilvl w:val="0"/>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Student Attendance</w:t>
      </w:r>
    </w:p>
    <w:p w:rsidR="004245DB" w:rsidRPr="00CE00DC" w:rsidRDefault="004245DB" w:rsidP="004245DB">
      <w:pPr>
        <w:pStyle w:val="ListParagraph"/>
        <w:numPr>
          <w:ilvl w:val="1"/>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1</w:t>
      </w:r>
      <w:r w:rsidRPr="00CE00DC">
        <w:rPr>
          <w:rFonts w:ascii="Times" w:eastAsia="Times New Roman" w:hAnsi="Times" w:cs="Times New Roman"/>
          <w:color w:val="000000"/>
          <w:sz w:val="22"/>
          <w:szCs w:val="22"/>
          <w:vertAlign w:val="superscript"/>
        </w:rPr>
        <w:t>st</w:t>
      </w:r>
      <w:r>
        <w:rPr>
          <w:rFonts w:ascii="Times" w:eastAsia="Times New Roman" w:hAnsi="Times" w:cs="Times New Roman"/>
          <w:color w:val="000000"/>
          <w:sz w:val="22"/>
          <w:szCs w:val="22"/>
        </w:rPr>
        <w:t xml:space="preserve"> Violation</w:t>
      </w:r>
    </w:p>
    <w:p w:rsidR="004245DB" w:rsidRPr="00CE00DC" w:rsidRDefault="004245DB" w:rsidP="004245DB">
      <w:pPr>
        <w:pStyle w:val="ListParagraph"/>
        <w:numPr>
          <w:ilvl w:val="2"/>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5 instances of being tardy in 1 class = 1 absence</w:t>
      </w:r>
    </w:p>
    <w:p w:rsidR="004245DB" w:rsidRPr="00CE00DC" w:rsidRDefault="004245DB" w:rsidP="004245DB">
      <w:pPr>
        <w:pStyle w:val="ListParagraph"/>
        <w:numPr>
          <w:ilvl w:val="2"/>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Consequence = Lunch Detention</w:t>
      </w:r>
    </w:p>
    <w:p w:rsidR="004245DB" w:rsidRPr="00667312" w:rsidRDefault="004245DB" w:rsidP="004245DB">
      <w:pPr>
        <w:pStyle w:val="ListParagraph"/>
        <w:numPr>
          <w:ilvl w:val="1"/>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Subsequent Violation</w:t>
      </w:r>
    </w:p>
    <w:p w:rsidR="004245DB" w:rsidRPr="00055895" w:rsidRDefault="004245DB" w:rsidP="004245DB">
      <w:pPr>
        <w:pStyle w:val="ListParagraph"/>
        <w:numPr>
          <w:ilvl w:val="2"/>
          <w:numId w:val="8"/>
        </w:numPr>
        <w:rPr>
          <w:rFonts w:ascii="Times" w:eastAsia="Times New Roman" w:hAnsi="Times" w:cs="Times New Roman"/>
          <w:b/>
          <w:bCs/>
          <w:color w:val="000000"/>
          <w:sz w:val="22"/>
          <w:szCs w:val="22"/>
        </w:rPr>
      </w:pPr>
      <w:r w:rsidRPr="00667312">
        <w:rPr>
          <w:rFonts w:ascii="Times" w:eastAsia="Times New Roman" w:hAnsi="Times" w:cs="Times New Roman"/>
          <w:color w:val="000000"/>
          <w:sz w:val="22"/>
          <w:szCs w:val="22"/>
        </w:rPr>
        <w:t>Lunch Detention and Community Service</w:t>
      </w:r>
    </w:p>
    <w:p w:rsidR="004245DB" w:rsidRPr="00667312" w:rsidRDefault="004245DB" w:rsidP="004245DB">
      <w:pPr>
        <w:pStyle w:val="ListParagraph"/>
        <w:ind w:left="2520"/>
        <w:rPr>
          <w:rFonts w:ascii="Times" w:eastAsia="Times New Roman" w:hAnsi="Times" w:cs="Times New Roman"/>
          <w:b/>
          <w:bCs/>
          <w:color w:val="000000"/>
          <w:sz w:val="22"/>
          <w:szCs w:val="22"/>
        </w:rPr>
      </w:pPr>
    </w:p>
    <w:p w:rsidR="00B118A1" w:rsidRDefault="001100A4">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MASTERY-BASED GRADING:</w:t>
      </w:r>
    </w:p>
    <w:p w:rsidR="00B118A1" w:rsidRDefault="001100A4">
      <w:pPr>
        <w:rPr>
          <w:rFonts w:ascii="Century Gothic" w:eastAsia="Century Gothic" w:hAnsi="Century Gothic" w:cs="Century Gothic"/>
          <w:b/>
          <w:color w:val="222222"/>
          <w:sz w:val="22"/>
          <w:szCs w:val="22"/>
          <w:highlight w:val="white"/>
        </w:rPr>
      </w:pPr>
      <w:r>
        <w:rPr>
          <w:rFonts w:ascii="Century Gothic" w:eastAsia="Century Gothic" w:hAnsi="Century Gothic" w:cs="Century Gothic"/>
          <w:b/>
          <w:sz w:val="22"/>
          <w:szCs w:val="22"/>
          <w:u w:val="single"/>
        </w:rPr>
        <w:t>Effort Grades</w:t>
      </w:r>
      <w:r>
        <w:rPr>
          <w:rFonts w:ascii="Century Gothic" w:eastAsia="Century Gothic" w:hAnsi="Century Gothic" w:cs="Century Gothic"/>
          <w:sz w:val="22"/>
          <w:szCs w:val="22"/>
        </w:rPr>
        <w:t xml:space="preserve">: Assignments that provide additional practice will not count towards a student’s overall mastery grade. Rather, teachers will record them as effort assignments. Students will earn a course effort grade each quarter. </w:t>
      </w:r>
    </w:p>
    <w:p w:rsidR="004245DB" w:rsidRDefault="001100A4">
      <w:pPr>
        <w:rPr>
          <w:rFonts w:ascii="Century Gothic" w:eastAsia="Century Gothic" w:hAnsi="Century Gothic" w:cs="Century Gothic"/>
          <w:b/>
          <w:sz w:val="22"/>
          <w:szCs w:val="22"/>
          <w:u w:val="single"/>
        </w:rPr>
      </w:pPr>
      <w:r>
        <w:rPr>
          <w:rFonts w:ascii="Century Gothic" w:eastAsia="Century Gothic" w:hAnsi="Century Gothic" w:cs="Century Gothic"/>
          <w:sz w:val="22"/>
          <w:szCs w:val="22"/>
        </w:rPr>
        <w:br/>
      </w:r>
      <w:r>
        <w:rPr>
          <w:rFonts w:ascii="Century Gothic" w:eastAsia="Century Gothic" w:hAnsi="Century Gothic" w:cs="Century Gothic"/>
          <w:b/>
          <w:sz w:val="22"/>
          <w:szCs w:val="22"/>
          <w:u w:val="single"/>
        </w:rPr>
        <w:t>Mastery Grades</w:t>
      </w:r>
      <w:r>
        <w:rPr>
          <w:rFonts w:ascii="Century Gothic" w:eastAsia="Century Gothic" w:hAnsi="Century Gothic" w:cs="Century Gothic"/>
          <w:sz w:val="22"/>
          <w:szCs w:val="22"/>
        </w:rPr>
        <w:t>: These are the academi</w:t>
      </w:r>
      <w:r>
        <w:rPr>
          <w:rFonts w:ascii="Century Gothic" w:eastAsia="Century Gothic" w:hAnsi="Century Gothic" w:cs="Century Gothic"/>
          <w:sz w:val="22"/>
          <w:szCs w:val="22"/>
        </w:rPr>
        <w:t>c grades that are reported on the official student transcript. It is important to note that the goal for each student is mastery of the standards and the following policies are designed with this goal in mind. Full attempts at mastery will be given a minim</w:t>
      </w:r>
      <w:r>
        <w:rPr>
          <w:rFonts w:ascii="Century Gothic" w:eastAsia="Century Gothic" w:hAnsi="Century Gothic" w:cs="Century Gothic"/>
          <w:sz w:val="22"/>
          <w:szCs w:val="22"/>
        </w:rPr>
        <w:t>um of 50% score.</w:t>
      </w:r>
    </w:p>
    <w:p w:rsidR="004245DB" w:rsidRDefault="004245DB">
      <w:pPr>
        <w:rPr>
          <w:rFonts w:ascii="Century Gothic" w:eastAsia="Century Gothic" w:hAnsi="Century Gothic" w:cs="Century Gothic"/>
          <w:b/>
          <w:sz w:val="22"/>
          <w:szCs w:val="22"/>
          <w:u w:val="single"/>
        </w:rPr>
      </w:pPr>
    </w:p>
    <w:p w:rsidR="00B118A1" w:rsidRPr="004245DB" w:rsidRDefault="001100A4">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lastRenderedPageBreak/>
        <w:t>Retakes</w:t>
      </w:r>
      <w:r>
        <w:rPr>
          <w:rFonts w:ascii="Century Gothic" w:eastAsia="Century Gothic" w:hAnsi="Century Gothic" w:cs="Century Gothic"/>
          <w:sz w:val="22"/>
          <w:szCs w:val="22"/>
        </w:rPr>
        <w:t>: Students may retake assessment for the standard if they score less than 90% on their first attempt. Retakes must be taken within on</w:t>
      </w:r>
      <w:r>
        <w:rPr>
          <w:rFonts w:ascii="Century Gothic" w:eastAsia="Century Gothic" w:hAnsi="Century Gothic" w:cs="Century Gothic"/>
          <w:sz w:val="22"/>
          <w:szCs w:val="22"/>
        </w:rPr>
        <w:t xml:space="preserve">e week of the original assessment and will earn a MAX score of 90%. In order to be given the opportunity for retake, students must have completed ALL effort &amp; academic assignments for that Unit. </w:t>
      </w:r>
    </w:p>
    <w:p w:rsidR="00B118A1" w:rsidRDefault="00B118A1">
      <w:pPr>
        <w:rPr>
          <w:rFonts w:ascii="Century Gothic" w:eastAsia="Century Gothic" w:hAnsi="Century Gothic" w:cs="Century Gothic"/>
          <w:sz w:val="22"/>
          <w:szCs w:val="22"/>
        </w:rPr>
      </w:pPr>
    </w:p>
    <w:p w:rsidR="00B118A1" w:rsidRDefault="001100A4">
      <w:pPr>
        <w:rPr>
          <w:rFonts w:ascii="Century Gothic" w:eastAsia="Century Gothic" w:hAnsi="Century Gothic" w:cs="Century Gothic"/>
          <w:b/>
          <w:color w:val="222222"/>
          <w:sz w:val="22"/>
          <w:szCs w:val="22"/>
          <w:highlight w:val="yellow"/>
        </w:rPr>
      </w:pPr>
      <w:r>
        <w:rPr>
          <w:rFonts w:ascii="Century Gothic" w:eastAsia="Century Gothic" w:hAnsi="Century Gothic" w:cs="Century Gothic"/>
          <w:sz w:val="22"/>
          <w:szCs w:val="22"/>
        </w:rPr>
        <w:t>Teachers also reserve the right to assign alternate assessment based upon individual needs.</w:t>
      </w:r>
    </w:p>
    <w:p w:rsidR="00B118A1" w:rsidRDefault="00B118A1">
      <w:pPr>
        <w:rPr>
          <w:rFonts w:ascii="Century Gothic" w:eastAsia="Century Gothic" w:hAnsi="Century Gothic" w:cs="Century Gothic"/>
          <w:b/>
          <w:color w:val="222222"/>
          <w:sz w:val="22"/>
          <w:szCs w:val="22"/>
          <w:highlight w:val="yellow"/>
        </w:rPr>
      </w:pPr>
    </w:p>
    <w:p w:rsidR="00B118A1" w:rsidRDefault="00B118A1">
      <w:pPr>
        <w:rPr>
          <w:rFonts w:ascii="Century Gothic" w:eastAsia="Century Gothic" w:hAnsi="Century Gothic" w:cs="Century Gothic"/>
          <w:b/>
          <w:sz w:val="22"/>
          <w:szCs w:val="22"/>
        </w:rPr>
      </w:pPr>
    </w:p>
    <w:p w:rsidR="00B118A1" w:rsidRDefault="001100A4">
      <w:pPr>
        <w:rPr>
          <w:rFonts w:ascii="Century Gothic" w:eastAsia="Century Gothic" w:hAnsi="Century Gothic" w:cs="Century Gothic"/>
          <w:color w:val="980000"/>
          <w:sz w:val="22"/>
          <w:szCs w:val="22"/>
        </w:rPr>
      </w:pPr>
      <w:r>
        <w:rPr>
          <w:rFonts w:ascii="Century Gothic" w:eastAsia="Century Gothic" w:hAnsi="Century Gothic" w:cs="Century Gothic"/>
          <w:b/>
          <w:sz w:val="22"/>
          <w:szCs w:val="22"/>
        </w:rPr>
        <w:t>PLAGIARISM</w:t>
      </w:r>
      <w:proofErr w:type="gramStart"/>
      <w:r>
        <w:rPr>
          <w:rFonts w:ascii="Century Gothic" w:eastAsia="Century Gothic" w:hAnsi="Century Gothic" w:cs="Century Gothic"/>
          <w:b/>
          <w:sz w:val="22"/>
          <w:szCs w:val="22"/>
        </w:rPr>
        <w:t>:</w:t>
      </w:r>
      <w:proofErr w:type="gramEnd"/>
      <w:r>
        <w:rPr>
          <w:rFonts w:ascii="Century Gothic" w:eastAsia="Century Gothic" w:hAnsi="Century Gothic" w:cs="Century Gothic"/>
          <w:sz w:val="22"/>
          <w:szCs w:val="22"/>
        </w:rPr>
        <w:br/>
      </w:r>
      <w:r>
        <w:rPr>
          <w:rFonts w:ascii="Century Gothic" w:eastAsia="Century Gothic" w:hAnsi="Century Gothic" w:cs="Century Gothic"/>
          <w:sz w:val="22"/>
          <w:szCs w:val="22"/>
        </w:rPr>
        <w:t xml:space="preserve">It is the responsibility of the student to follow the ASU Prep Way with honesty in regard to the authorship of the work that he/she presents as his/her own. Consequences for plagiarism will be in accordance with the </w:t>
      </w:r>
      <w:r>
        <w:rPr>
          <w:rFonts w:ascii="Century Gothic" w:eastAsia="Century Gothic" w:hAnsi="Century Gothic" w:cs="Century Gothic"/>
          <w:color w:val="980000"/>
          <w:sz w:val="22"/>
          <w:szCs w:val="22"/>
        </w:rPr>
        <w:t xml:space="preserve">ASU Preparatory Student Code of Conduct </w:t>
      </w:r>
      <w:r>
        <w:rPr>
          <w:rFonts w:ascii="Century Gothic" w:eastAsia="Century Gothic" w:hAnsi="Century Gothic" w:cs="Century Gothic"/>
          <w:color w:val="980000"/>
          <w:sz w:val="22"/>
          <w:szCs w:val="22"/>
        </w:rPr>
        <w:t>/ Handbook.</w:t>
      </w:r>
    </w:p>
    <w:p w:rsidR="00B118A1" w:rsidRDefault="00B118A1" w:rsidP="006E7A88">
      <w:pPr>
        <w:widowControl w:val="0"/>
        <w:pBdr>
          <w:top w:val="nil"/>
          <w:left w:val="nil"/>
          <w:bottom w:val="nil"/>
          <w:right w:val="nil"/>
          <w:between w:val="nil"/>
        </w:pBdr>
        <w:spacing w:after="240"/>
        <w:rPr>
          <w:rFonts w:ascii="Century Gothic" w:eastAsia="Century Gothic" w:hAnsi="Century Gothic" w:cs="Century Gothic"/>
          <w:color w:val="000000"/>
          <w:sz w:val="22"/>
          <w:szCs w:val="22"/>
        </w:rPr>
      </w:pPr>
    </w:p>
    <w:p w:rsidR="00B118A1" w:rsidRDefault="001100A4">
      <w:pPr>
        <w:widowControl w:val="0"/>
        <w:spacing w:after="240"/>
        <w:rPr>
          <w:rFonts w:ascii="Century Gothic" w:eastAsia="Century Gothic" w:hAnsi="Century Gothic" w:cs="Century Gothic"/>
          <w:sz w:val="22"/>
          <w:szCs w:val="22"/>
        </w:rPr>
      </w:pPr>
      <w:r>
        <w:rPr>
          <w:rFonts w:ascii="Century Gothic" w:eastAsia="Century Gothic" w:hAnsi="Century Gothic" w:cs="Century Gothic"/>
          <w:b/>
          <w:sz w:val="22"/>
          <w:szCs w:val="22"/>
        </w:rPr>
        <w:t>GRADING INFORMATION</w:t>
      </w:r>
      <w:proofErr w:type="gramStart"/>
      <w:r>
        <w:rPr>
          <w:rFonts w:ascii="Century Gothic" w:eastAsia="Century Gothic" w:hAnsi="Century Gothic" w:cs="Century Gothic"/>
          <w:b/>
          <w:sz w:val="22"/>
          <w:szCs w:val="22"/>
        </w:rPr>
        <w:t>:</w:t>
      </w:r>
      <w:proofErr w:type="gramEnd"/>
      <w:r>
        <w:rPr>
          <w:rFonts w:ascii="Century Gothic" w:eastAsia="Century Gothic" w:hAnsi="Century Gothic" w:cs="Century Gothic"/>
          <w:sz w:val="22"/>
          <w:szCs w:val="22"/>
        </w:rPr>
        <w:br/>
        <w:t xml:space="preserve">Students enrolled at ASU Preparatory Academy will receive two letter grades in each of their courses. One of the letter grades is an </w:t>
      </w:r>
      <w:r>
        <w:rPr>
          <w:rFonts w:ascii="Century Gothic" w:eastAsia="Century Gothic" w:hAnsi="Century Gothic" w:cs="Century Gothic"/>
          <w:b/>
          <w:sz w:val="22"/>
          <w:szCs w:val="22"/>
        </w:rPr>
        <w:t>academic grade</w:t>
      </w:r>
      <w:r>
        <w:rPr>
          <w:rFonts w:ascii="Century Gothic" w:eastAsia="Century Gothic" w:hAnsi="Century Gothic" w:cs="Century Gothic"/>
          <w:sz w:val="22"/>
          <w:szCs w:val="22"/>
        </w:rPr>
        <w:t xml:space="preserve"> demonstrates s</w:t>
      </w:r>
      <w:r>
        <w:rPr>
          <w:rFonts w:ascii="Century Gothic" w:eastAsia="Century Gothic" w:hAnsi="Century Gothic" w:cs="Century Gothic"/>
          <w:sz w:val="22"/>
          <w:szCs w:val="22"/>
        </w:rPr>
        <w:t xml:space="preserve">tudent mastery of the course objectives. The second grade is an </w:t>
      </w:r>
      <w:r>
        <w:rPr>
          <w:rFonts w:ascii="Century Gothic" w:eastAsia="Century Gothic" w:hAnsi="Century Gothic" w:cs="Century Gothic"/>
          <w:b/>
          <w:sz w:val="22"/>
          <w:szCs w:val="22"/>
        </w:rPr>
        <w:t xml:space="preserve">effort grade </w:t>
      </w:r>
      <w:r>
        <w:rPr>
          <w:rFonts w:ascii="Century Gothic" w:eastAsia="Century Gothic" w:hAnsi="Century Gothic" w:cs="Century Gothic"/>
          <w:sz w:val="22"/>
          <w:szCs w:val="22"/>
        </w:rPr>
        <w:t xml:space="preserve">that reflects attendance, participation, discussions, or completion of practice assignments. Both of the letter grades will adhere to the following grading scale, but only the </w:t>
      </w:r>
      <w:r>
        <w:rPr>
          <w:rFonts w:ascii="Century Gothic" w:eastAsia="Century Gothic" w:hAnsi="Century Gothic" w:cs="Century Gothic"/>
          <w:b/>
          <w:sz w:val="22"/>
          <w:szCs w:val="22"/>
        </w:rPr>
        <w:t xml:space="preserve">academic grade </w:t>
      </w:r>
      <w:r>
        <w:rPr>
          <w:rFonts w:ascii="Century Gothic" w:eastAsia="Century Gothic" w:hAnsi="Century Gothic" w:cs="Century Gothic"/>
          <w:sz w:val="22"/>
          <w:szCs w:val="22"/>
        </w:rPr>
        <w:t>will be reflected on the student’s final transcript and included in the grade point average.</w:t>
      </w:r>
    </w:p>
    <w:p w:rsidR="00B118A1" w:rsidRDefault="001100A4">
      <w:pPr>
        <w:widowControl w:val="0"/>
        <w:spacing w:after="240"/>
        <w:ind w:left="1440"/>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A</w:t>
      </w:r>
      <w:proofErr w:type="spellEnd"/>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Exemplary</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90 – 100</w:t>
      </w:r>
      <w:r>
        <w:rPr>
          <w:rFonts w:ascii="Century Gothic" w:eastAsia="Century Gothic" w:hAnsi="Century Gothic" w:cs="Century Gothic"/>
          <w:sz w:val="22"/>
          <w:szCs w:val="22"/>
        </w:rPr>
        <w:br/>
        <w:t>B</w:t>
      </w:r>
      <w:r>
        <w:rPr>
          <w:rFonts w:ascii="Century Gothic" w:eastAsia="Century Gothic" w:hAnsi="Century Gothic" w:cs="Century Gothic"/>
          <w:sz w:val="22"/>
          <w:szCs w:val="22"/>
        </w:rPr>
        <w:tab/>
        <w:t>Highly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80 – 89</w:t>
      </w:r>
      <w:r>
        <w:rPr>
          <w:rFonts w:ascii="Century Gothic" w:eastAsia="Century Gothic" w:hAnsi="Century Gothic" w:cs="Century Gothic"/>
          <w:sz w:val="22"/>
          <w:szCs w:val="22"/>
        </w:rPr>
        <w:br/>
        <w:t>C</w:t>
      </w:r>
      <w:r>
        <w:rPr>
          <w:rFonts w:ascii="Century Gothic" w:eastAsia="Century Gothic" w:hAnsi="Century Gothic" w:cs="Century Gothic"/>
          <w:sz w:val="22"/>
          <w:szCs w:val="22"/>
        </w:rPr>
        <w:tab/>
        <w:t>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70 – 79</w:t>
      </w:r>
      <w:r>
        <w:rPr>
          <w:rFonts w:ascii="Century Gothic" w:eastAsia="Century Gothic" w:hAnsi="Century Gothic" w:cs="Century Gothic"/>
          <w:sz w:val="22"/>
          <w:szCs w:val="22"/>
        </w:rPr>
        <w:br/>
        <w:t>D</w:t>
      </w:r>
      <w:r>
        <w:rPr>
          <w:rFonts w:ascii="Century Gothic" w:eastAsia="Century Gothic" w:hAnsi="Century Gothic" w:cs="Century Gothic"/>
          <w:sz w:val="22"/>
          <w:szCs w:val="22"/>
        </w:rPr>
        <w:tab/>
        <w:t>Partially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60 – 69</w:t>
      </w:r>
      <w:r>
        <w:rPr>
          <w:rFonts w:ascii="Century Gothic" w:eastAsia="Century Gothic" w:hAnsi="Century Gothic" w:cs="Century Gothic"/>
          <w:sz w:val="22"/>
          <w:szCs w:val="22"/>
        </w:rPr>
        <w:br/>
        <w:t>F</w:t>
      </w:r>
      <w:r>
        <w:rPr>
          <w:rFonts w:ascii="Century Gothic" w:eastAsia="Century Gothic" w:hAnsi="Century Gothic" w:cs="Century Gothic"/>
          <w:sz w:val="22"/>
          <w:szCs w:val="22"/>
        </w:rPr>
        <w:tab/>
        <w:t>Minimally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50 – 59</w:t>
      </w:r>
    </w:p>
    <w:p w:rsidR="00B118A1" w:rsidRDefault="00B118A1">
      <w:pPr>
        <w:widowControl w:val="0"/>
        <w:spacing w:after="240"/>
        <w:rPr>
          <w:rFonts w:ascii="Century Gothic" w:eastAsia="Century Gothic" w:hAnsi="Century Gothic" w:cs="Century Gothic"/>
          <w:b/>
          <w:sz w:val="22"/>
          <w:szCs w:val="22"/>
        </w:rPr>
      </w:pPr>
    </w:p>
    <w:p w:rsidR="00B118A1" w:rsidRDefault="001100A4">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CLASS MATERIALS: </w:t>
      </w:r>
    </w:p>
    <w:p w:rsidR="006E7A88" w:rsidRPr="006E7A88" w:rsidRDefault="001100A4" w:rsidP="006E7A88">
      <w:pPr>
        <w:widowControl w:val="0"/>
        <w:spacing w:after="240"/>
        <w:rPr>
          <w:rFonts w:ascii="Century Gothic" w:eastAsia="Century Gothic" w:hAnsi="Century Gothic" w:cs="Century Gothic"/>
          <w:b/>
          <w:color w:val="980000"/>
          <w:sz w:val="22"/>
          <w:szCs w:val="22"/>
        </w:rPr>
      </w:pPr>
      <w:r>
        <w:rPr>
          <w:rFonts w:ascii="Century Gothic" w:eastAsia="Century Gothic" w:hAnsi="Century Gothic" w:cs="Century Gothic"/>
          <w:b/>
          <w:color w:val="980000"/>
          <w:sz w:val="22"/>
          <w:szCs w:val="22"/>
        </w:rPr>
        <w:t>Students MUST bring Chromebook to school daily - Please assure it is fully charged each night!</w:t>
      </w:r>
    </w:p>
    <w:p w:rsidR="006E7A88" w:rsidRDefault="006E7A88" w:rsidP="006E7A88">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Lined Paper</w:t>
      </w:r>
      <w:r>
        <w:rPr>
          <w:rFonts w:ascii="Times New Roman" w:eastAsia="Times New Roman" w:hAnsi="Times New Roman" w:cs="Times New Roman"/>
          <w:sz w:val="20"/>
          <w:szCs w:val="20"/>
        </w:rPr>
        <w:br/>
        <w:t>* Writing Utensil</w:t>
      </w:r>
    </w:p>
    <w:p w:rsidR="006E7A88" w:rsidRDefault="006E7A88" w:rsidP="006E7A88">
      <w:pPr>
        <w:pStyle w:val="Normal1"/>
        <w:widowControl w:val="0"/>
        <w:rPr>
          <w:rFonts w:ascii="Times New Roman" w:eastAsia="Times New Roman" w:hAnsi="Times New Roman" w:cs="Times New Roman"/>
          <w:sz w:val="20"/>
          <w:szCs w:val="20"/>
        </w:rPr>
      </w:pPr>
      <w:r w:rsidRPr="002F17F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Folder</w:t>
      </w:r>
    </w:p>
    <w:p w:rsidR="006E7A88" w:rsidRDefault="006E7A88" w:rsidP="006E7A88">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Composition Notebook</w:t>
      </w:r>
    </w:p>
    <w:p w:rsidR="006E7A88" w:rsidRPr="002F17FB" w:rsidRDefault="006E7A88" w:rsidP="006E7A88">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Planner</w:t>
      </w:r>
      <w:bookmarkStart w:id="1" w:name="h.gjdgxs" w:colFirst="0" w:colLast="0"/>
      <w:bookmarkEnd w:id="1"/>
    </w:p>
    <w:p w:rsidR="00B118A1" w:rsidRPr="006E7A88" w:rsidRDefault="00B118A1" w:rsidP="006E7A88">
      <w:pPr>
        <w:ind w:firstLine="720"/>
        <w:rPr>
          <w:rFonts w:ascii="Century Gothic" w:eastAsia="Century Gothic" w:hAnsi="Century Gothic" w:cs="Century Gothic"/>
          <w:sz w:val="22"/>
          <w:szCs w:val="22"/>
        </w:rPr>
      </w:pPr>
    </w:p>
    <w:sectPr w:rsidR="00B118A1" w:rsidRPr="006E7A88">
      <w:pgSz w:w="12240" w:h="15840"/>
      <w:pgMar w:top="990" w:right="720" w:bottom="81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ermanent Marker">
    <w:altName w:val="Times New Roman"/>
    <w:charset w:val="00"/>
    <w:family w:val="auto"/>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3EE5"/>
    <w:multiLevelType w:val="multilevel"/>
    <w:tmpl w:val="0D92D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96DA6"/>
    <w:multiLevelType w:val="hybridMultilevel"/>
    <w:tmpl w:val="8D56A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D2D22"/>
    <w:multiLevelType w:val="multilevel"/>
    <w:tmpl w:val="4DD09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F318EB"/>
    <w:multiLevelType w:val="hybridMultilevel"/>
    <w:tmpl w:val="5CB62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23238B"/>
    <w:multiLevelType w:val="hybridMultilevel"/>
    <w:tmpl w:val="912C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797D"/>
    <w:multiLevelType w:val="multilevel"/>
    <w:tmpl w:val="2526A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383574"/>
    <w:multiLevelType w:val="multilevel"/>
    <w:tmpl w:val="C30E6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2D7946"/>
    <w:multiLevelType w:val="hybridMultilevel"/>
    <w:tmpl w:val="A64A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1"/>
    <w:rsid w:val="001100A4"/>
    <w:rsid w:val="003C21A5"/>
    <w:rsid w:val="004245DB"/>
    <w:rsid w:val="006E7A88"/>
    <w:rsid w:val="009B14E1"/>
    <w:rsid w:val="00B1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925A"/>
  <w15:docId w15:val="{3A599F1F-D040-4DBD-8DA9-7508AB20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character" w:styleId="Strong">
    <w:name w:val="Strong"/>
    <w:basedOn w:val="DefaultParagraphFont"/>
    <w:uiPriority w:val="22"/>
    <w:qFormat/>
    <w:rsid w:val="0001347E"/>
    <w:rPr>
      <w:b/>
      <w:bCs/>
    </w:rPr>
  </w:style>
  <w:style w:type="paragraph" w:styleId="ListParagraph">
    <w:name w:val="List Paragraph"/>
    <w:basedOn w:val="Normal"/>
    <w:uiPriority w:val="34"/>
    <w:qFormat/>
    <w:rsid w:val="00E55E64"/>
    <w:pPr>
      <w:ind w:left="720"/>
      <w:contextualSpacing/>
    </w:pPr>
  </w:style>
  <w:style w:type="table" w:styleId="TableGrid">
    <w:name w:val="Table Grid"/>
    <w:basedOn w:val="TableNormal"/>
    <w:uiPriority w:val="59"/>
    <w:rsid w:val="00E5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65E"/>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Normal1">
    <w:name w:val="Normal1"/>
    <w:rsid w:val="004245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RiO6RXVbXbPTn4p9Xjan6x08Q==">AMUW2mWAI61l5EcHaylQA+bHcbyQ2H8+/ZVk1fs0GosHiRr7Qo/2b9h6nzO5XvXjgJBtNBVkrKN3d2xThCkJYe7qZ8FMcE7G7XfJQQhncqYDjVzxRcTk2nc=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 Sparky</dc:creator>
  <cp:lastModifiedBy>Peter Quinn</cp:lastModifiedBy>
  <cp:revision>2</cp:revision>
  <dcterms:created xsi:type="dcterms:W3CDTF">2019-07-23T18:14:00Z</dcterms:created>
  <dcterms:modified xsi:type="dcterms:W3CDTF">2019-07-23T18:14:00Z</dcterms:modified>
</cp:coreProperties>
</file>